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F0" w:rsidRPr="008610C4" w:rsidRDefault="003533F0" w:rsidP="003533F0">
      <w:pPr>
        <w:jc w:val="center"/>
        <w:rPr>
          <w:b/>
          <w:bCs/>
          <w:color w:val="000000"/>
          <w:sz w:val="22"/>
          <w:szCs w:val="22"/>
        </w:rPr>
      </w:pPr>
      <w:r w:rsidRPr="008610C4">
        <w:rPr>
          <w:b/>
          <w:bCs/>
          <w:color w:val="000000"/>
          <w:sz w:val="22"/>
          <w:szCs w:val="22"/>
        </w:rPr>
        <w:t>Resolution #1</w:t>
      </w:r>
    </w:p>
    <w:p w:rsidR="003533F0" w:rsidRPr="008610C4" w:rsidRDefault="003533F0" w:rsidP="003533F0">
      <w:pPr>
        <w:jc w:val="center"/>
        <w:rPr>
          <w:b/>
          <w:bCs/>
          <w:color w:val="000000"/>
          <w:sz w:val="22"/>
          <w:szCs w:val="22"/>
        </w:rPr>
      </w:pPr>
      <w:r w:rsidRPr="008610C4">
        <w:rPr>
          <w:b/>
          <w:bCs/>
          <w:color w:val="000000"/>
          <w:sz w:val="22"/>
          <w:szCs w:val="22"/>
        </w:rPr>
        <w:t>Resolution Regarding Marriage Equality in Maryland</w:t>
      </w:r>
    </w:p>
    <w:p w:rsidR="003533F0" w:rsidRPr="008610C4" w:rsidRDefault="003533F0" w:rsidP="003533F0">
      <w:pPr>
        <w:rPr>
          <w:b/>
          <w:bCs/>
          <w:color w:val="000000"/>
          <w:sz w:val="22"/>
          <w:szCs w:val="22"/>
        </w:rPr>
      </w:pPr>
    </w:p>
    <w:p w:rsidR="003533F0" w:rsidRPr="008610C4" w:rsidRDefault="003533F0" w:rsidP="003533F0">
      <w:pPr>
        <w:widowControl w:val="0"/>
        <w:jc w:val="both"/>
        <w:rPr>
          <w:color w:val="000000"/>
          <w:sz w:val="22"/>
          <w:szCs w:val="22"/>
        </w:rPr>
      </w:pPr>
      <w:r w:rsidRPr="008610C4">
        <w:rPr>
          <w:b/>
          <w:color w:val="000000"/>
          <w:sz w:val="22"/>
          <w:szCs w:val="22"/>
        </w:rPr>
        <w:t xml:space="preserve">WHEREAS, </w:t>
      </w:r>
      <w:r w:rsidRPr="008610C4">
        <w:rPr>
          <w:color w:val="000000"/>
          <w:sz w:val="22"/>
          <w:szCs w:val="22"/>
        </w:rPr>
        <w:t>the Governor and Legislature of the state of Maryland on March 1, 2012, enacted the Civil Marriage Protection Act, extending legal protection for civil marriage to all couples in the state of Maryland; and</w:t>
      </w:r>
    </w:p>
    <w:p w:rsidR="003533F0" w:rsidRPr="008610C4" w:rsidRDefault="003533F0" w:rsidP="003533F0">
      <w:pPr>
        <w:widowControl w:val="0"/>
        <w:jc w:val="both"/>
        <w:rPr>
          <w:color w:val="000000"/>
          <w:sz w:val="22"/>
          <w:szCs w:val="22"/>
        </w:rPr>
      </w:pPr>
    </w:p>
    <w:p w:rsidR="003533F0" w:rsidRPr="008610C4" w:rsidRDefault="003533F0" w:rsidP="003533F0">
      <w:pPr>
        <w:widowControl w:val="0"/>
        <w:jc w:val="both"/>
        <w:rPr>
          <w:color w:val="000000"/>
          <w:sz w:val="22"/>
          <w:szCs w:val="22"/>
        </w:rPr>
      </w:pPr>
      <w:r w:rsidRPr="008610C4">
        <w:rPr>
          <w:b/>
          <w:color w:val="000000"/>
          <w:sz w:val="22"/>
          <w:szCs w:val="22"/>
        </w:rPr>
        <w:t>WHEREAS,</w:t>
      </w:r>
      <w:r w:rsidRPr="008610C4">
        <w:rPr>
          <w:color w:val="000000"/>
          <w:sz w:val="22"/>
          <w:szCs w:val="22"/>
        </w:rPr>
        <w:t xml:space="preserve"> the ELCA recognizes that “while Lutherans hold various convictions regarding lifelong, monogamous, same-gender relationships, this church is united on many critical issues,” including the need to “support legislation and policies to protect civil rights and to prohibit discrimination in housing, employment, and public services” (</w:t>
      </w:r>
      <w:r w:rsidRPr="008610C4">
        <w:rPr>
          <w:i/>
          <w:color w:val="000000"/>
          <w:sz w:val="22"/>
          <w:szCs w:val="22"/>
        </w:rPr>
        <w:t xml:space="preserve">Human Sexuality: Gift and Trust </w:t>
      </w:r>
      <w:r w:rsidRPr="008610C4">
        <w:rPr>
          <w:color w:val="000000"/>
          <w:sz w:val="22"/>
          <w:szCs w:val="22"/>
        </w:rPr>
        <w:t>[</w:t>
      </w:r>
      <w:r w:rsidRPr="008610C4">
        <w:rPr>
          <w:i/>
          <w:color w:val="000000"/>
          <w:sz w:val="22"/>
          <w:szCs w:val="22"/>
        </w:rPr>
        <w:t>HS:G&amp;T</w:t>
      </w:r>
      <w:r w:rsidRPr="008610C4">
        <w:rPr>
          <w:color w:val="000000"/>
          <w:sz w:val="22"/>
          <w:szCs w:val="22"/>
        </w:rPr>
        <w:t>],</w:t>
      </w:r>
      <w:r w:rsidRPr="008610C4">
        <w:rPr>
          <w:i/>
          <w:color w:val="000000"/>
          <w:sz w:val="22"/>
          <w:szCs w:val="22"/>
        </w:rPr>
        <w:t xml:space="preserve"> </w:t>
      </w:r>
      <w:r w:rsidRPr="008610C4">
        <w:rPr>
          <w:color w:val="000000"/>
          <w:sz w:val="22"/>
          <w:szCs w:val="22"/>
        </w:rPr>
        <w:t>p. 19); and</w:t>
      </w:r>
    </w:p>
    <w:p w:rsidR="003533F0" w:rsidRPr="008610C4" w:rsidRDefault="003533F0" w:rsidP="003533F0">
      <w:pPr>
        <w:widowControl w:val="0"/>
        <w:jc w:val="both"/>
        <w:rPr>
          <w:color w:val="000000"/>
          <w:sz w:val="22"/>
          <w:szCs w:val="22"/>
        </w:rPr>
      </w:pPr>
    </w:p>
    <w:p w:rsidR="003533F0" w:rsidRPr="008610C4" w:rsidRDefault="003533F0" w:rsidP="003533F0">
      <w:pPr>
        <w:widowControl w:val="0"/>
        <w:jc w:val="both"/>
        <w:rPr>
          <w:rFonts w:eastAsia="Calibri"/>
          <w:color w:val="000000"/>
          <w:kern w:val="1"/>
          <w:sz w:val="22"/>
          <w:szCs w:val="22"/>
        </w:rPr>
      </w:pPr>
      <w:r w:rsidRPr="008610C4">
        <w:rPr>
          <w:rFonts w:eastAsia="Calibri"/>
          <w:b/>
          <w:bCs/>
          <w:color w:val="000000"/>
          <w:kern w:val="1"/>
          <w:sz w:val="22"/>
          <w:szCs w:val="22"/>
        </w:rPr>
        <w:t>WHEREAS,</w:t>
      </w:r>
      <w:r w:rsidRPr="008610C4">
        <w:rPr>
          <w:rFonts w:eastAsia="Calibri"/>
          <w:color w:val="000000"/>
          <w:kern w:val="1"/>
          <w:sz w:val="22"/>
          <w:szCs w:val="22"/>
        </w:rPr>
        <w:t xml:space="preserve"> this synod  has congregations and individual members who live and/or worship in Maryland, some of whom “conclude that marriage is also the appropriate term to use in describing... same-gender couples entering into lifelong, monogamous relationships” and that “such accountable relationships provide the necessary foundation that supports trust and familial and community thriving;” </w:t>
      </w:r>
      <w:r w:rsidRPr="008610C4">
        <w:rPr>
          <w:rFonts w:eastAsia="Calibri"/>
          <w:i/>
          <w:iCs/>
          <w:color w:val="000000"/>
          <w:kern w:val="1"/>
          <w:sz w:val="22"/>
          <w:szCs w:val="22"/>
        </w:rPr>
        <w:t>(HS:G&amp;T</w:t>
      </w:r>
      <w:r w:rsidRPr="008610C4">
        <w:rPr>
          <w:rFonts w:eastAsia="Calibri"/>
          <w:color w:val="000000"/>
          <w:kern w:val="1"/>
          <w:sz w:val="22"/>
          <w:szCs w:val="22"/>
        </w:rPr>
        <w:t>,</w:t>
      </w:r>
      <w:r w:rsidRPr="008610C4">
        <w:rPr>
          <w:rFonts w:eastAsia="Calibri"/>
          <w:i/>
          <w:iCs/>
          <w:color w:val="000000"/>
          <w:kern w:val="1"/>
          <w:sz w:val="22"/>
          <w:szCs w:val="22"/>
        </w:rPr>
        <w:t xml:space="preserve"> </w:t>
      </w:r>
      <w:r w:rsidRPr="008610C4">
        <w:rPr>
          <w:rFonts w:eastAsia="Calibri"/>
          <w:color w:val="000000"/>
          <w:kern w:val="1"/>
          <w:sz w:val="22"/>
          <w:szCs w:val="22"/>
        </w:rPr>
        <w:t>p</w:t>
      </w:r>
      <w:r w:rsidRPr="008610C4">
        <w:rPr>
          <w:rFonts w:eastAsia="Calibri"/>
          <w:i/>
          <w:iCs/>
          <w:color w:val="000000"/>
          <w:kern w:val="1"/>
          <w:sz w:val="22"/>
          <w:szCs w:val="22"/>
        </w:rPr>
        <w:t>.</w:t>
      </w:r>
      <w:r w:rsidRPr="008610C4">
        <w:rPr>
          <w:rFonts w:eastAsia="Calibri"/>
          <w:color w:val="000000"/>
          <w:kern w:val="1"/>
          <w:sz w:val="22"/>
          <w:szCs w:val="22"/>
        </w:rPr>
        <w:t xml:space="preserve"> 18); and</w:t>
      </w:r>
    </w:p>
    <w:p w:rsidR="003533F0" w:rsidRDefault="003533F0" w:rsidP="003533F0">
      <w:pPr>
        <w:widowControl w:val="0"/>
        <w:jc w:val="both"/>
        <w:rPr>
          <w:color w:val="000000"/>
          <w:sz w:val="22"/>
          <w:szCs w:val="22"/>
        </w:rPr>
      </w:pPr>
    </w:p>
    <w:p w:rsidR="003533F0" w:rsidRPr="00A27ACD" w:rsidRDefault="003533F0" w:rsidP="003533F0">
      <w:pPr>
        <w:widowControl w:val="0"/>
        <w:jc w:val="both"/>
        <w:rPr>
          <w:color w:val="000000"/>
          <w:sz w:val="22"/>
          <w:szCs w:val="22"/>
        </w:rPr>
      </w:pPr>
      <w:r w:rsidRPr="00A27ACD">
        <w:rPr>
          <w:b/>
          <w:sz w:val="22"/>
          <w:szCs w:val="22"/>
        </w:rPr>
        <w:t>WHEREAS</w:t>
      </w:r>
      <w:r w:rsidRPr="00A27ACD">
        <w:rPr>
          <w:sz w:val="22"/>
          <w:szCs w:val="22"/>
        </w:rPr>
        <w:t xml:space="preserve">, this synod has congregations and individual members who live and/or worship in Maryland who, regardless of their beliefs in general about same-gender relationships, “do not equate these relationships with marriage” </w:t>
      </w:r>
      <w:r w:rsidRPr="00A27ACD">
        <w:rPr>
          <w:color w:val="000000"/>
          <w:sz w:val="22"/>
          <w:szCs w:val="22"/>
        </w:rPr>
        <w:t>(Human Sexuality: Gift and Trust [HS:G&amp;T], p. 20);</w:t>
      </w:r>
    </w:p>
    <w:p w:rsidR="003533F0" w:rsidRDefault="003533F0" w:rsidP="003533F0">
      <w:pPr>
        <w:widowControl w:val="0"/>
        <w:jc w:val="both"/>
        <w:rPr>
          <w:color w:val="000000"/>
          <w:sz w:val="22"/>
          <w:szCs w:val="22"/>
        </w:rPr>
      </w:pPr>
    </w:p>
    <w:p w:rsidR="003533F0" w:rsidRPr="008610C4" w:rsidRDefault="003533F0" w:rsidP="003533F0">
      <w:pPr>
        <w:widowControl w:val="0"/>
        <w:jc w:val="both"/>
        <w:rPr>
          <w:color w:val="000000"/>
          <w:sz w:val="22"/>
          <w:szCs w:val="22"/>
        </w:rPr>
      </w:pPr>
      <w:r w:rsidRPr="008610C4">
        <w:rPr>
          <w:b/>
          <w:bCs/>
          <w:color w:val="000000"/>
          <w:sz w:val="22"/>
          <w:szCs w:val="22"/>
        </w:rPr>
        <w:t>WHEREAS,</w:t>
      </w:r>
      <w:r w:rsidRPr="008610C4">
        <w:rPr>
          <w:color w:val="000000"/>
          <w:sz w:val="22"/>
          <w:szCs w:val="22"/>
        </w:rPr>
        <w:t xml:space="preserve"> in stating that any</w:t>
      </w:r>
      <w:r w:rsidRPr="008610C4">
        <w:rPr>
          <w:rFonts w:eastAsia="Calibri"/>
          <w:color w:val="000000"/>
          <w:kern w:val="1"/>
          <w:sz w:val="22"/>
          <w:szCs w:val="22"/>
        </w:rPr>
        <w:t xml:space="preserve"> religious official or congregation may choose not to officiate or participate in a marriage ceremony in violation of their conscience or free exercise of religion, </w:t>
      </w:r>
      <w:r w:rsidRPr="008610C4">
        <w:rPr>
          <w:color w:val="000000"/>
          <w:sz w:val="22"/>
          <w:szCs w:val="22"/>
        </w:rPr>
        <w:t>the Civil Marriage Protection Act provides the means by which each congregation and individual member of this church located in Maryland may legally carry out the practices which they have faithfully discerned are the most appropriate response to the ELCA's call to “welcome, care for, and support same-gender couples and their families” (</w:t>
      </w:r>
      <w:r w:rsidRPr="008610C4">
        <w:rPr>
          <w:i/>
          <w:iCs/>
          <w:color w:val="000000"/>
          <w:sz w:val="22"/>
          <w:szCs w:val="22"/>
        </w:rPr>
        <w:t>HS:G&amp;T</w:t>
      </w:r>
      <w:r w:rsidRPr="008610C4">
        <w:rPr>
          <w:color w:val="000000"/>
          <w:sz w:val="22"/>
          <w:szCs w:val="22"/>
        </w:rPr>
        <w:t>, p. 19); and</w:t>
      </w:r>
    </w:p>
    <w:p w:rsidR="003533F0" w:rsidRPr="008610C4" w:rsidRDefault="003533F0" w:rsidP="003533F0">
      <w:pPr>
        <w:widowControl w:val="0"/>
        <w:jc w:val="both"/>
        <w:rPr>
          <w:color w:val="000000"/>
          <w:sz w:val="22"/>
          <w:szCs w:val="22"/>
        </w:rPr>
      </w:pPr>
    </w:p>
    <w:p w:rsidR="003533F0" w:rsidRDefault="003533F0" w:rsidP="003533F0">
      <w:pPr>
        <w:widowControl w:val="0"/>
        <w:jc w:val="both"/>
        <w:rPr>
          <w:rFonts w:eastAsia="Calibri"/>
          <w:color w:val="000000"/>
          <w:kern w:val="1"/>
          <w:sz w:val="22"/>
          <w:szCs w:val="22"/>
        </w:rPr>
      </w:pPr>
      <w:r w:rsidRPr="008610C4">
        <w:rPr>
          <w:rFonts w:eastAsia="Calibri"/>
          <w:b/>
          <w:bCs/>
          <w:color w:val="000000"/>
          <w:kern w:val="1"/>
          <w:sz w:val="22"/>
          <w:szCs w:val="22"/>
        </w:rPr>
        <w:t xml:space="preserve">WHEREAS, </w:t>
      </w:r>
      <w:r w:rsidRPr="008610C4">
        <w:rPr>
          <w:rFonts w:eastAsia="Calibri"/>
          <w:color w:val="000000"/>
          <w:kern w:val="1"/>
          <w:sz w:val="22"/>
          <w:szCs w:val="22"/>
        </w:rPr>
        <w:t xml:space="preserve">this synod includes “different understandings and practices within its life as it seeks to live out its mission and ministry in the world” as a way to honor the “conscience-bound beliefs” of each member of this church </w:t>
      </w:r>
      <w:r w:rsidRPr="008610C4">
        <w:rPr>
          <w:rFonts w:eastAsia="Calibri"/>
          <w:b/>
          <w:bCs/>
          <w:color w:val="000000"/>
          <w:kern w:val="1"/>
          <w:sz w:val="22"/>
          <w:szCs w:val="22"/>
        </w:rPr>
        <w:t>“</w:t>
      </w:r>
      <w:r w:rsidRPr="008610C4">
        <w:rPr>
          <w:rFonts w:eastAsia="Calibri"/>
          <w:color w:val="000000"/>
          <w:kern w:val="1"/>
          <w:sz w:val="22"/>
          <w:szCs w:val="22"/>
        </w:rPr>
        <w:t>with humility and deep respect” (</w:t>
      </w:r>
      <w:r w:rsidRPr="008610C4">
        <w:rPr>
          <w:rFonts w:eastAsia="Calibri"/>
          <w:i/>
          <w:iCs/>
          <w:color w:val="000000"/>
          <w:kern w:val="1"/>
          <w:sz w:val="22"/>
          <w:szCs w:val="22"/>
        </w:rPr>
        <w:t>HS</w:t>
      </w:r>
      <w:proofErr w:type="gramStart"/>
      <w:r w:rsidRPr="008610C4">
        <w:rPr>
          <w:rFonts w:eastAsia="Calibri"/>
          <w:i/>
          <w:iCs/>
          <w:color w:val="000000"/>
          <w:kern w:val="1"/>
          <w:sz w:val="22"/>
          <w:szCs w:val="22"/>
        </w:rPr>
        <w:t>:G</w:t>
      </w:r>
      <w:proofErr w:type="gramEnd"/>
      <w:r w:rsidRPr="008610C4">
        <w:rPr>
          <w:rFonts w:eastAsia="Calibri"/>
          <w:i/>
          <w:iCs/>
          <w:color w:val="000000"/>
          <w:kern w:val="1"/>
          <w:sz w:val="22"/>
          <w:szCs w:val="22"/>
        </w:rPr>
        <w:t>&amp;T</w:t>
      </w:r>
      <w:r w:rsidRPr="008610C4">
        <w:rPr>
          <w:rFonts w:eastAsia="Calibri"/>
          <w:color w:val="000000"/>
          <w:kern w:val="1"/>
          <w:sz w:val="22"/>
          <w:szCs w:val="22"/>
        </w:rPr>
        <w:t>, p. 19); therefore be it</w:t>
      </w:r>
    </w:p>
    <w:p w:rsidR="003533F0" w:rsidRDefault="003533F0" w:rsidP="003533F0">
      <w:pPr>
        <w:widowControl w:val="0"/>
        <w:jc w:val="both"/>
        <w:rPr>
          <w:rFonts w:eastAsia="Calibri"/>
          <w:color w:val="000000"/>
          <w:kern w:val="1"/>
          <w:sz w:val="22"/>
          <w:szCs w:val="22"/>
        </w:rPr>
      </w:pPr>
    </w:p>
    <w:p w:rsidR="003533F0" w:rsidRPr="00A12AC2" w:rsidRDefault="003533F0" w:rsidP="003533F0">
      <w:pPr>
        <w:widowControl w:val="0"/>
        <w:jc w:val="both"/>
        <w:rPr>
          <w:rFonts w:eastAsia="Calibri"/>
          <w:color w:val="000000"/>
          <w:kern w:val="1"/>
          <w:sz w:val="22"/>
          <w:szCs w:val="22"/>
        </w:rPr>
      </w:pPr>
      <w:r w:rsidRPr="008610C4">
        <w:rPr>
          <w:b/>
          <w:bCs/>
          <w:color w:val="000000"/>
          <w:sz w:val="22"/>
          <w:szCs w:val="22"/>
        </w:rPr>
        <w:t>RESOLVED</w:t>
      </w:r>
      <w:r w:rsidRPr="008610C4">
        <w:rPr>
          <w:color w:val="000000"/>
          <w:sz w:val="22"/>
          <w:szCs w:val="22"/>
        </w:rPr>
        <w:t>, that the Delaware-Maryland Synod encourages its congregations to study the Civil Marriage Protection Act, as enacted by the Maryland legislature, prior to the anticipated referendum in the General Election of 2012; and be it further</w:t>
      </w:r>
    </w:p>
    <w:p w:rsidR="003533F0" w:rsidRPr="008610C4" w:rsidRDefault="003533F0" w:rsidP="003533F0">
      <w:pPr>
        <w:jc w:val="both"/>
        <w:rPr>
          <w:sz w:val="22"/>
          <w:szCs w:val="22"/>
        </w:rPr>
      </w:pPr>
    </w:p>
    <w:p w:rsidR="003533F0" w:rsidRPr="008610C4" w:rsidRDefault="003533F0" w:rsidP="003533F0">
      <w:pPr>
        <w:jc w:val="both"/>
        <w:rPr>
          <w:sz w:val="22"/>
          <w:szCs w:val="22"/>
        </w:rPr>
      </w:pPr>
      <w:r w:rsidRPr="008610C4">
        <w:rPr>
          <w:b/>
          <w:bCs/>
          <w:sz w:val="22"/>
          <w:szCs w:val="22"/>
        </w:rPr>
        <w:t>RESOLVED</w:t>
      </w:r>
      <w:r w:rsidRPr="008610C4">
        <w:rPr>
          <w:sz w:val="22"/>
          <w:szCs w:val="22"/>
        </w:rPr>
        <w:t xml:space="preserve">, that the Delaware-Maryland Synod shall offer at least three public forums prior to the beginning of Early Voting (October 27, 2012), providing members of our faith communities the opportunity to study together the issues involved in light of the ELCA Social Statement, </w:t>
      </w:r>
      <w:r w:rsidRPr="008610C4">
        <w:rPr>
          <w:i/>
          <w:iCs/>
          <w:sz w:val="22"/>
          <w:szCs w:val="22"/>
        </w:rPr>
        <w:t>Human Sexuality: Gift and Trust</w:t>
      </w:r>
      <w:r w:rsidRPr="008610C4">
        <w:rPr>
          <w:sz w:val="22"/>
          <w:szCs w:val="22"/>
        </w:rPr>
        <w:t>; and be it further</w:t>
      </w:r>
    </w:p>
    <w:p w:rsidR="003533F0" w:rsidRPr="008610C4" w:rsidRDefault="003533F0" w:rsidP="003533F0">
      <w:pPr>
        <w:jc w:val="both"/>
        <w:rPr>
          <w:sz w:val="22"/>
          <w:szCs w:val="22"/>
        </w:rPr>
      </w:pPr>
    </w:p>
    <w:p w:rsidR="003533F0" w:rsidRPr="008610C4" w:rsidRDefault="003533F0" w:rsidP="003533F0">
      <w:pPr>
        <w:jc w:val="both"/>
        <w:rPr>
          <w:sz w:val="22"/>
          <w:szCs w:val="22"/>
        </w:rPr>
      </w:pPr>
      <w:r w:rsidRPr="008610C4">
        <w:rPr>
          <w:b/>
          <w:bCs/>
          <w:sz w:val="22"/>
          <w:szCs w:val="22"/>
        </w:rPr>
        <w:t>RESOLVED</w:t>
      </w:r>
      <w:r w:rsidRPr="008610C4">
        <w:rPr>
          <w:sz w:val="22"/>
          <w:szCs w:val="22"/>
        </w:rPr>
        <w:t xml:space="preserve">, that the Delaware-Maryland Synod requests that the synod bishop issue a pastoral letter offering his guidance prior to the anticipated referendum. </w:t>
      </w:r>
    </w:p>
    <w:p w:rsidR="003533F0" w:rsidRPr="008610C4" w:rsidRDefault="003533F0" w:rsidP="003533F0">
      <w:pPr>
        <w:rPr>
          <w:color w:val="000000"/>
          <w:sz w:val="22"/>
          <w:szCs w:val="22"/>
        </w:rPr>
      </w:pPr>
    </w:p>
    <w:p w:rsidR="003533F0" w:rsidRPr="008610C4" w:rsidRDefault="003533F0" w:rsidP="003533F0">
      <w:pPr>
        <w:autoSpaceDE w:val="0"/>
        <w:rPr>
          <w:b/>
          <w:bCs/>
          <w:color w:val="000000"/>
          <w:sz w:val="22"/>
          <w:szCs w:val="22"/>
          <w:u w:val="single"/>
        </w:rPr>
      </w:pPr>
      <w:r w:rsidRPr="008610C4">
        <w:rPr>
          <w:b/>
          <w:bCs/>
          <w:color w:val="000000"/>
          <w:sz w:val="22"/>
          <w:szCs w:val="22"/>
          <w:u w:val="single"/>
        </w:rPr>
        <w:t>Sponsors</w:t>
      </w:r>
    </w:p>
    <w:p w:rsidR="003533F0" w:rsidRPr="008610C4" w:rsidRDefault="003533F0" w:rsidP="003533F0">
      <w:pPr>
        <w:autoSpaceDE w:val="0"/>
        <w:rPr>
          <w:color w:val="000000"/>
          <w:sz w:val="22"/>
          <w:szCs w:val="22"/>
        </w:rPr>
      </w:pPr>
      <w:r w:rsidRPr="008610C4">
        <w:rPr>
          <w:color w:val="000000"/>
          <w:sz w:val="22"/>
          <w:szCs w:val="22"/>
        </w:rPr>
        <w:t>The Rev. Ryan W. Roberts</w:t>
      </w:r>
      <w:r w:rsidRPr="008610C4">
        <w:rPr>
          <w:color w:val="000000"/>
          <w:sz w:val="22"/>
          <w:szCs w:val="22"/>
        </w:rPr>
        <w:tab/>
      </w:r>
      <w:r w:rsidRPr="008610C4">
        <w:rPr>
          <w:color w:val="000000"/>
          <w:sz w:val="22"/>
          <w:szCs w:val="22"/>
        </w:rPr>
        <w:tab/>
        <w:t>Mr. Brad Schlegel</w:t>
      </w:r>
      <w:r w:rsidRPr="008610C4">
        <w:rPr>
          <w:color w:val="000000"/>
          <w:sz w:val="22"/>
          <w:szCs w:val="22"/>
        </w:rPr>
        <w:tab/>
      </w:r>
      <w:r w:rsidRPr="008610C4">
        <w:rPr>
          <w:color w:val="000000"/>
          <w:sz w:val="22"/>
          <w:szCs w:val="22"/>
        </w:rPr>
        <w:tab/>
        <w:t>Mr. John Carter</w:t>
      </w:r>
    </w:p>
    <w:p w:rsidR="003533F0" w:rsidRPr="008610C4" w:rsidRDefault="003533F0" w:rsidP="003533F0">
      <w:pPr>
        <w:autoSpaceDE w:val="0"/>
        <w:rPr>
          <w:color w:val="000000"/>
          <w:sz w:val="22"/>
          <w:szCs w:val="22"/>
        </w:rPr>
      </w:pPr>
      <w:r>
        <w:rPr>
          <w:color w:val="000000"/>
          <w:sz w:val="22"/>
          <w:szCs w:val="22"/>
        </w:rPr>
        <w:t>The Rev. Stacy Marsh</w:t>
      </w:r>
      <w:r>
        <w:rPr>
          <w:color w:val="000000"/>
          <w:sz w:val="22"/>
          <w:szCs w:val="22"/>
        </w:rPr>
        <w:tab/>
      </w:r>
      <w:r>
        <w:rPr>
          <w:color w:val="000000"/>
          <w:sz w:val="22"/>
          <w:szCs w:val="22"/>
        </w:rPr>
        <w:tab/>
      </w:r>
      <w:proofErr w:type="gramStart"/>
      <w:r w:rsidRPr="008610C4">
        <w:rPr>
          <w:color w:val="000000"/>
          <w:sz w:val="22"/>
          <w:szCs w:val="22"/>
        </w:rPr>
        <w:t>The</w:t>
      </w:r>
      <w:proofErr w:type="gramEnd"/>
      <w:r w:rsidRPr="008610C4">
        <w:rPr>
          <w:color w:val="000000"/>
          <w:sz w:val="22"/>
          <w:szCs w:val="22"/>
        </w:rPr>
        <w:t xml:space="preserve"> Rev. Dale </w:t>
      </w:r>
      <w:proofErr w:type="spellStart"/>
      <w:r w:rsidRPr="008610C4">
        <w:rPr>
          <w:color w:val="000000"/>
          <w:sz w:val="22"/>
          <w:szCs w:val="22"/>
        </w:rPr>
        <w:t>Dusman</w:t>
      </w:r>
      <w:proofErr w:type="spellEnd"/>
      <w:r w:rsidRPr="008610C4">
        <w:rPr>
          <w:color w:val="000000"/>
          <w:sz w:val="22"/>
          <w:szCs w:val="22"/>
        </w:rPr>
        <w:tab/>
        <w:t>The Rev. Thomas Davison</w:t>
      </w:r>
    </w:p>
    <w:p w:rsidR="003533F0" w:rsidRPr="008610C4" w:rsidRDefault="003533F0" w:rsidP="003533F0">
      <w:pPr>
        <w:autoSpaceDE w:val="0"/>
        <w:rPr>
          <w:color w:val="000000"/>
          <w:sz w:val="22"/>
          <w:szCs w:val="22"/>
        </w:rPr>
      </w:pPr>
      <w:r w:rsidRPr="008610C4">
        <w:rPr>
          <w:color w:val="000000"/>
          <w:sz w:val="22"/>
          <w:szCs w:val="22"/>
        </w:rPr>
        <w:t>The Rev. Breonna Roberts</w:t>
      </w:r>
      <w:r w:rsidRPr="008610C4">
        <w:rPr>
          <w:color w:val="000000"/>
          <w:sz w:val="22"/>
          <w:szCs w:val="22"/>
        </w:rPr>
        <w:tab/>
      </w:r>
      <w:r w:rsidRPr="008610C4">
        <w:rPr>
          <w:color w:val="000000"/>
          <w:sz w:val="22"/>
          <w:szCs w:val="22"/>
        </w:rPr>
        <w:tab/>
        <w:t>Ms. Marion Malcolm</w:t>
      </w:r>
      <w:r w:rsidRPr="008610C4">
        <w:rPr>
          <w:color w:val="000000"/>
          <w:sz w:val="22"/>
          <w:szCs w:val="22"/>
        </w:rPr>
        <w:tab/>
      </w:r>
      <w:r w:rsidRPr="008610C4">
        <w:rPr>
          <w:color w:val="000000"/>
          <w:sz w:val="22"/>
          <w:szCs w:val="22"/>
        </w:rPr>
        <w:tab/>
        <w:t>Mr. Don Zimmerman</w:t>
      </w:r>
      <w:r w:rsidRPr="008610C4">
        <w:rPr>
          <w:color w:val="000000"/>
          <w:sz w:val="22"/>
          <w:szCs w:val="22"/>
        </w:rPr>
        <w:tab/>
      </w:r>
    </w:p>
    <w:p w:rsidR="003533F0" w:rsidRPr="008610C4" w:rsidRDefault="003533F0" w:rsidP="003533F0">
      <w:pPr>
        <w:autoSpaceDE w:val="0"/>
        <w:rPr>
          <w:color w:val="000000"/>
          <w:sz w:val="22"/>
          <w:szCs w:val="22"/>
        </w:rPr>
      </w:pPr>
      <w:r w:rsidRPr="008610C4">
        <w:rPr>
          <w:color w:val="000000"/>
          <w:sz w:val="22"/>
          <w:szCs w:val="22"/>
        </w:rPr>
        <w:t>Mr. Gene Miller</w:t>
      </w:r>
      <w:r w:rsidRPr="008610C4">
        <w:rPr>
          <w:color w:val="000000"/>
          <w:sz w:val="22"/>
          <w:szCs w:val="22"/>
        </w:rPr>
        <w:tab/>
      </w:r>
      <w:r w:rsidRPr="008610C4">
        <w:rPr>
          <w:color w:val="000000"/>
          <w:sz w:val="22"/>
          <w:szCs w:val="22"/>
        </w:rPr>
        <w:tab/>
      </w:r>
      <w:r w:rsidRPr="008610C4">
        <w:rPr>
          <w:color w:val="000000"/>
          <w:sz w:val="22"/>
          <w:szCs w:val="22"/>
        </w:rPr>
        <w:tab/>
        <w:t>Church Council, St. Mark's Lutheran Church, Baltimore</w:t>
      </w:r>
    </w:p>
    <w:p w:rsidR="003533F0" w:rsidRDefault="003533F0" w:rsidP="003533F0">
      <w:pPr>
        <w:rPr>
          <w:sz w:val="22"/>
          <w:szCs w:val="22"/>
        </w:rPr>
      </w:pPr>
      <w:r>
        <w:rPr>
          <w:sz w:val="22"/>
          <w:szCs w:val="22"/>
        </w:rPr>
        <w:lastRenderedPageBreak/>
        <w:t>The Rev. Teresa Langdon</w:t>
      </w:r>
    </w:p>
    <w:p w:rsidR="008B604A" w:rsidRDefault="008B604A">
      <w:bookmarkStart w:id="0" w:name="_GoBack"/>
      <w:bookmarkEnd w:id="0"/>
    </w:p>
    <w:sectPr w:rsidR="008B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F0"/>
    <w:rsid w:val="003533F0"/>
    <w:rsid w:val="008B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44C40-9A87-44FF-BB5F-A34AE161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F0"/>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1</cp:revision>
  <dcterms:created xsi:type="dcterms:W3CDTF">2018-07-30T18:35:00Z</dcterms:created>
  <dcterms:modified xsi:type="dcterms:W3CDTF">2018-07-30T18:35:00Z</dcterms:modified>
</cp:coreProperties>
</file>