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EEB77" w14:textId="6B06F6DB" w:rsidR="00441789" w:rsidRDefault="00C86D0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Memorial 2018-1: </w:t>
      </w:r>
      <w:r w:rsidR="0022252F">
        <w:rPr>
          <w:b/>
          <w:bCs/>
          <w:sz w:val="28"/>
          <w:szCs w:val="28"/>
        </w:rPr>
        <w:t>A Memorial Regarding the Protection of the Human Rights of Palestinian Children Living Under Israeli Military Occupation</w:t>
      </w:r>
    </w:p>
    <w:p w14:paraId="7F2C1230" w14:textId="77777777" w:rsidR="00441789" w:rsidRDefault="00441789">
      <w:pPr>
        <w:pStyle w:val="Body"/>
        <w:jc w:val="center"/>
        <w:rPr>
          <w:b/>
          <w:bCs/>
          <w:sz w:val="28"/>
          <w:szCs w:val="28"/>
        </w:rPr>
      </w:pPr>
    </w:p>
    <w:p w14:paraId="58C2B319" w14:textId="71FC4EE9" w:rsidR="00441789" w:rsidRDefault="00971F6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Way to Treat a</w:t>
      </w:r>
      <w:bookmarkStart w:id="0" w:name="_GoBack"/>
      <w:bookmarkEnd w:id="0"/>
      <w:r w:rsidR="0002495F">
        <w:rPr>
          <w:b/>
          <w:bCs/>
          <w:sz w:val="28"/>
          <w:szCs w:val="28"/>
        </w:rPr>
        <w:t xml:space="preserve"> </w:t>
      </w:r>
      <w:r w:rsidR="0022252F">
        <w:rPr>
          <w:b/>
          <w:bCs/>
          <w:sz w:val="28"/>
          <w:szCs w:val="28"/>
        </w:rPr>
        <w:t>Child</w:t>
      </w:r>
    </w:p>
    <w:p w14:paraId="405DA311" w14:textId="77777777" w:rsidR="00441789" w:rsidRDefault="0022252F">
      <w:pPr>
        <w:pStyle w:val="NormalWeb"/>
        <w:rPr>
          <w:sz w:val="20"/>
          <w:szCs w:val="20"/>
        </w:rPr>
      </w:pPr>
      <w:r>
        <w:rPr>
          <w:caps/>
        </w:rPr>
        <w:t>WHEREAS,</w:t>
      </w:r>
      <w:r>
        <w:rPr>
          <w:caps/>
        </w:rPr>
        <w:tab/>
      </w:r>
      <w:r>
        <w:t xml:space="preserve">the ELCA, in its Social Message on “Human Rights” adopted unanimously by the </w:t>
      </w:r>
      <w:r>
        <w:tab/>
      </w:r>
      <w:r>
        <w:tab/>
        <w:t xml:space="preserve">Church Council of the Evangelical Lutheran Church in America on November 12, </w:t>
      </w:r>
      <w:r>
        <w:tab/>
      </w:r>
      <w:r>
        <w:tab/>
        <w:t xml:space="preserve">2017, affirms this church teaches that “human dignity is God’s gift to every </w:t>
      </w:r>
      <w:r>
        <w:tab/>
      </w:r>
      <w:r>
        <w:tab/>
      </w:r>
      <w:r>
        <w:tab/>
        <w:t xml:space="preserve">person and that the commitment to universal rights protects that dignity.”  Further </w:t>
      </w:r>
      <w:r>
        <w:tab/>
      </w:r>
      <w:r>
        <w:tab/>
      </w:r>
      <w:r>
        <w:tab/>
        <w:t xml:space="preserve">the Council “gives renewed </w:t>
      </w:r>
      <w:r>
        <w:rPr>
          <w:sz w:val="22"/>
          <w:szCs w:val="22"/>
        </w:rPr>
        <w:t>attention to addressing human rights as a church.</w:t>
      </w:r>
      <w:r>
        <w:rPr>
          <w:position w:val="16"/>
          <w:sz w:val="12"/>
          <w:szCs w:val="12"/>
        </w:rPr>
        <w:t xml:space="preserve">  </w:t>
      </w:r>
      <w:r>
        <w:rPr>
          <w:sz w:val="22"/>
          <w:szCs w:val="22"/>
        </w:rPr>
        <w:t xml:space="preserve">It also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believes the time is right for more Christians to enter public conversation and take action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 safeguard the dignity due to all children of God;” and</w:t>
      </w:r>
    </w:p>
    <w:p w14:paraId="6345ACF9" w14:textId="77777777" w:rsidR="00441789" w:rsidRDefault="0022252F">
      <w:pPr>
        <w:pStyle w:val="NormalWeb"/>
        <w:rPr>
          <w:sz w:val="20"/>
          <w:szCs w:val="20"/>
        </w:rPr>
      </w:pPr>
      <w:r>
        <w:rPr>
          <w:sz w:val="22"/>
          <w:szCs w:val="22"/>
        </w:rPr>
        <w:t xml:space="preserve">WHEREAS, </w:t>
      </w:r>
      <w:r>
        <w:rPr>
          <w:sz w:val="22"/>
          <w:szCs w:val="22"/>
        </w:rPr>
        <w:tab/>
      </w:r>
      <w:r>
        <w:t>the ELCA, in its Social Message on “Human Rights” also affirms that “</w:t>
      </w:r>
      <w:r>
        <w:rPr>
          <w:sz w:val="22"/>
          <w:szCs w:val="22"/>
        </w:rPr>
        <w:t>the ELCA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social teaching is clear: “The God who justifies expects all people to do justice;” and</w:t>
      </w:r>
    </w:p>
    <w:p w14:paraId="0309B895" w14:textId="77777777" w:rsidR="00441789" w:rsidRDefault="0022252F">
      <w:pPr>
        <w:pStyle w:val="NormalWeb"/>
        <w:rPr>
          <w:sz w:val="20"/>
          <w:szCs w:val="20"/>
        </w:rPr>
      </w:pPr>
      <w:r>
        <w:rPr>
          <w:sz w:val="22"/>
          <w:szCs w:val="22"/>
        </w:rPr>
        <w:t xml:space="preserve">WHEREAS, </w:t>
      </w:r>
      <w:r>
        <w:rPr>
          <w:sz w:val="22"/>
          <w:szCs w:val="22"/>
        </w:rPr>
        <w:tab/>
      </w:r>
      <w:r>
        <w:t xml:space="preserve">the ELCA, in its Social Message on “Human Rights” further states that “the </w:t>
      </w:r>
      <w:r>
        <w:tab/>
      </w:r>
      <w:r>
        <w:tab/>
      </w:r>
      <w:r>
        <w:tab/>
        <w:t xml:space="preserve">ELCA </w:t>
      </w:r>
      <w:r>
        <w:rPr>
          <w:sz w:val="22"/>
          <w:szCs w:val="22"/>
        </w:rPr>
        <w:t xml:space="preserve">affirms the Universal Declaration of Human Rights as “a common universal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standard of justice for living with our differences, and they give moral and legal standing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 the individual in the international community;” and</w:t>
      </w:r>
    </w:p>
    <w:p w14:paraId="26FAE3BA" w14:textId="77777777" w:rsidR="00441789" w:rsidRDefault="0022252F">
      <w:pPr>
        <w:pStyle w:val="NormalWeb"/>
        <w:rPr>
          <w:sz w:val="20"/>
          <w:szCs w:val="20"/>
        </w:rPr>
      </w:pPr>
      <w:r>
        <w:rPr>
          <w:sz w:val="22"/>
          <w:szCs w:val="22"/>
        </w:rPr>
        <w:t xml:space="preserve">WHEREAS, </w:t>
      </w:r>
      <w:r>
        <w:rPr>
          <w:sz w:val="22"/>
          <w:szCs w:val="22"/>
        </w:rPr>
        <w:tab/>
      </w:r>
      <w:r>
        <w:t>the ELCA, in its Social Message on “Human Rights” further states that “</w:t>
      </w:r>
      <w:r>
        <w:rPr>
          <w:sz w:val="22"/>
          <w:szCs w:val="22"/>
        </w:rPr>
        <w:t xml:space="preserve">Christians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cannot be satisfied simply with responding to injustice that has already occurred. We also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are called to take actions that prevent rights abuses from happening in the first place,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whether by personal intervention in injustice or publicly addressing rights abuses.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Support for legal protections and means of enforcement is also our responsibility; and</w:t>
      </w:r>
    </w:p>
    <w:p w14:paraId="01FF27E0" w14:textId="77777777" w:rsidR="00441789" w:rsidRDefault="0022252F">
      <w:pPr>
        <w:pStyle w:val="NormalWeb"/>
      </w:pPr>
      <w:r>
        <w:rPr>
          <w:caps/>
        </w:rPr>
        <w:t>Whereas,</w:t>
      </w:r>
      <w:r>
        <w:t xml:space="preserve"> </w:t>
      </w:r>
      <w:r>
        <w:tab/>
        <w:t xml:space="preserve">the ELCA, in 2005, established an initiative, “Peace Not Walls: Stand for Justice </w:t>
      </w:r>
      <w:r>
        <w:tab/>
      </w:r>
      <w:r>
        <w:tab/>
      </w:r>
      <w:r>
        <w:tab/>
        <w:t xml:space="preserve">in the Holy Land,” with three components—Awareness Building, </w:t>
      </w:r>
      <w:r>
        <w:tab/>
      </w:r>
      <w:r>
        <w:tab/>
      </w:r>
      <w:r>
        <w:tab/>
      </w:r>
      <w:r>
        <w:tab/>
      </w:r>
      <w:r>
        <w:tab/>
        <w:t xml:space="preserve">Accompaniment and Advocacy— which seeks “peace with justice for both </w:t>
      </w:r>
      <w:r>
        <w:tab/>
      </w:r>
      <w:r>
        <w:tab/>
      </w:r>
      <w:r>
        <w:tab/>
        <w:t xml:space="preserve">Palestinians and Israelis and the continuation of the Christian witness in the Holy </w:t>
      </w:r>
      <w:r>
        <w:tab/>
      </w:r>
      <w:r>
        <w:tab/>
      </w:r>
      <w:r>
        <w:tab/>
        <w:t>Land;” and</w:t>
      </w:r>
    </w:p>
    <w:p w14:paraId="34A96390" w14:textId="77777777" w:rsidR="00441789" w:rsidRDefault="0022252F">
      <w:pPr>
        <w:pStyle w:val="Body"/>
      </w:pPr>
      <w:r>
        <w:t xml:space="preserve"> </w:t>
      </w:r>
      <w:r>
        <w:rPr>
          <w:caps/>
        </w:rPr>
        <w:t>Whereas,</w:t>
      </w:r>
      <w:r>
        <w:t xml:space="preserve"> </w:t>
      </w:r>
      <w:r>
        <w:tab/>
        <w:t xml:space="preserve">the ELCA, in its Social Statement “For Peace in God’s World” has committed to </w:t>
      </w:r>
      <w:r>
        <w:tab/>
      </w:r>
      <w:r>
        <w:tab/>
      </w:r>
      <w:r>
        <w:tab/>
        <w:t xml:space="preserve">promote respect for human rights, especially for “groups most susceptible to </w:t>
      </w:r>
      <w:r>
        <w:tab/>
      </w:r>
      <w:r>
        <w:tab/>
      </w:r>
      <w:r>
        <w:tab/>
        <w:t>violations, especially all minorities, women, and children;” and</w:t>
      </w:r>
    </w:p>
    <w:p w14:paraId="615D6514" w14:textId="77777777" w:rsidR="00441789" w:rsidRDefault="00441789">
      <w:pPr>
        <w:pStyle w:val="Body"/>
      </w:pPr>
    </w:p>
    <w:p w14:paraId="56FB91F9" w14:textId="77777777" w:rsidR="00441789" w:rsidRDefault="0022252F">
      <w:pPr>
        <w:pStyle w:val="Body"/>
      </w:pPr>
      <w:r>
        <w:rPr>
          <w:caps/>
        </w:rPr>
        <w:t>Whereas,</w:t>
      </w:r>
      <w:r>
        <w:t xml:space="preserve"> </w:t>
      </w:r>
      <w:r>
        <w:tab/>
        <w:t xml:space="preserve">the ELCA is in relationship with the six Lutheran congregations of the </w:t>
      </w:r>
      <w:r>
        <w:tab/>
      </w:r>
      <w:r>
        <w:tab/>
      </w:r>
      <w:r>
        <w:tab/>
      </w:r>
      <w:r>
        <w:tab/>
        <w:t>Evangelical Lutheran Church in Jordan and the Holy Land; and</w:t>
      </w:r>
    </w:p>
    <w:p w14:paraId="0C1BD1E8" w14:textId="77777777" w:rsidR="00441789" w:rsidRDefault="0022252F">
      <w:pPr>
        <w:pStyle w:val="Body"/>
      </w:pPr>
      <w:r>
        <w:t xml:space="preserve"> </w:t>
      </w:r>
      <w:r>
        <w:br/>
      </w:r>
    </w:p>
    <w:p w14:paraId="22505998" w14:textId="5F8BD4A3" w:rsidR="00441789" w:rsidRDefault="0022252F" w:rsidP="00C86D05">
      <w:pPr>
        <w:pStyle w:val="Body"/>
        <w:ind w:left="1440" w:hanging="1440"/>
      </w:pPr>
      <w:r>
        <w:rPr>
          <w:caps/>
        </w:rPr>
        <w:t>Whereas,</w:t>
      </w:r>
      <w:r>
        <w:t xml:space="preserve"> </w:t>
      </w:r>
      <w:r>
        <w:tab/>
        <w:t xml:space="preserve">Israel operates two separate and unequal legal systems in the same territory — applying military law to Palestinians in the West Bank, east Jerusalem, and the Gaza Strip, while  settlers, however, who reside within the bounds of the occupied West </w:t>
      </w:r>
      <w:r>
        <w:rPr>
          <w:lang w:val="de-DE"/>
        </w:rPr>
        <w:t>Bank</w:t>
      </w:r>
      <w:r>
        <w:t xml:space="preserve"> in violation of international law, are subject to the Israeli civilian legal framework;</w:t>
      </w:r>
      <w:r>
        <w:rPr>
          <w:rFonts w:eastAsia="Times New Roman" w:cs="Times New Roman"/>
          <w:vertAlign w:val="superscript"/>
        </w:rPr>
        <w:footnoteReference w:id="2"/>
      </w:r>
      <w:r>
        <w:t xml:space="preserve"> and</w:t>
      </w:r>
    </w:p>
    <w:p w14:paraId="2540A82E" w14:textId="77777777" w:rsidR="00441789" w:rsidRDefault="0022252F">
      <w:pPr>
        <w:pStyle w:val="Body"/>
      </w:pPr>
      <w:r>
        <w:t xml:space="preserve"> </w:t>
      </w:r>
      <w:r>
        <w:br/>
      </w:r>
    </w:p>
    <w:p w14:paraId="3C80A9C7" w14:textId="2A378ABF" w:rsidR="00441789" w:rsidRDefault="0022252F">
      <w:pPr>
        <w:pStyle w:val="Body"/>
      </w:pPr>
      <w:r>
        <w:rPr>
          <w:caps/>
        </w:rPr>
        <w:lastRenderedPageBreak/>
        <w:t>Whereas,</w:t>
      </w:r>
      <w:r>
        <w:t xml:space="preserve"> </w:t>
      </w:r>
      <w:r>
        <w:tab/>
        <w:t xml:space="preserve">Israel is the only country in the world that automatically and systematically </w:t>
      </w:r>
      <w:r>
        <w:tab/>
      </w:r>
      <w:r>
        <w:tab/>
      </w:r>
      <w:r w:rsidR="00C86D05">
        <w:tab/>
      </w:r>
      <w:r>
        <w:t xml:space="preserve">prosecutes children in military courts that lack fundamental fair trial rights and </w:t>
      </w:r>
      <w:r>
        <w:tab/>
      </w:r>
      <w:r>
        <w:tab/>
      </w:r>
      <w:r>
        <w:tab/>
        <w:t xml:space="preserve">protections; detaining and prosecuting an estimated 500 to 700 Palestinian </w:t>
      </w:r>
      <w:r>
        <w:tab/>
      </w:r>
      <w:r>
        <w:tab/>
      </w:r>
      <w:r>
        <w:tab/>
      </w:r>
      <w:r>
        <w:tab/>
        <w:t>children in military courts each year;</w:t>
      </w:r>
      <w:r>
        <w:rPr>
          <w:rFonts w:eastAsia="Times New Roman" w:cs="Times New Roman"/>
          <w:vertAlign w:val="superscript"/>
        </w:rPr>
        <w:footnoteReference w:id="3"/>
      </w:r>
      <w:r>
        <w:t xml:space="preserve"> and</w:t>
      </w:r>
    </w:p>
    <w:p w14:paraId="06390ADB" w14:textId="77777777" w:rsidR="00C86D05" w:rsidRDefault="0022252F" w:rsidP="00C86D05">
      <w:pPr>
        <w:pStyle w:val="Body"/>
      </w:pPr>
      <w:r>
        <w:br/>
      </w:r>
      <w:r>
        <w:rPr>
          <w:lang w:val="de-DE"/>
        </w:rPr>
        <w:t xml:space="preserve">WHEREAS, </w:t>
      </w:r>
      <w:r>
        <w:rPr>
          <w:lang w:val="de-DE"/>
        </w:rPr>
        <w:tab/>
        <w:t xml:space="preserve">Palestinian children detained in the Israeli military detention system commonly </w:t>
      </w:r>
      <w:r>
        <w:rPr>
          <w:lang w:val="de-DE"/>
        </w:rPr>
        <w:tab/>
      </w:r>
      <w:r>
        <w:t xml:space="preserve"> </w:t>
      </w:r>
    </w:p>
    <w:p w14:paraId="19D4F58B" w14:textId="43853558" w:rsidR="00441789" w:rsidRDefault="0022252F" w:rsidP="00C86D05">
      <w:pPr>
        <w:pStyle w:val="Body"/>
        <w:ind w:left="1440"/>
      </w:pPr>
      <w:r>
        <w:t xml:space="preserve">report being arrested in the middle of the </w:t>
      </w:r>
      <w:r w:rsidR="00C86D05">
        <w:t>night and typically arrive to i</w:t>
      </w:r>
      <w:r>
        <w:t xml:space="preserve">nterrogation bound, blindfolded, frightened, and </w:t>
      </w:r>
      <w:r w:rsidR="00C86D05">
        <w:t xml:space="preserve">sleep deprived, and often give </w:t>
      </w:r>
      <w:r>
        <w:t xml:space="preserve">confessions after verbal abuse, threats, physical and </w:t>
      </w:r>
      <w:r w:rsidR="00C86D05">
        <w:t xml:space="preserve">psychological violence that in </w:t>
      </w:r>
      <w:r>
        <w:t>some cases amounts to torture,</w:t>
      </w:r>
      <w:r>
        <w:rPr>
          <w:rFonts w:eastAsia="Times New Roman" w:cs="Times New Roman"/>
          <w:vertAlign w:val="superscript"/>
        </w:rPr>
        <w:footnoteReference w:id="4"/>
      </w:r>
      <w:r>
        <w:t xml:space="preserve"> while Israeli military </w:t>
      </w:r>
      <w:r w:rsidR="00C86D05">
        <w:t xml:space="preserve">law provides no right to legal </w:t>
      </w:r>
      <w:r>
        <w:t>counsel during interrogation, with 95 percent of children in East Jerusalem having no parents present during interrogation;</w:t>
      </w:r>
      <w:r>
        <w:rPr>
          <w:rFonts w:eastAsia="Times New Roman" w:cs="Times New Roman"/>
          <w:vertAlign w:val="superscript"/>
        </w:rPr>
        <w:footnoteReference w:id="5"/>
      </w:r>
      <w:r>
        <w:t xml:space="preserve"> and</w:t>
      </w:r>
    </w:p>
    <w:p w14:paraId="14055238" w14:textId="77777777" w:rsidR="00441789" w:rsidRDefault="00441789">
      <w:pPr>
        <w:pStyle w:val="Body"/>
      </w:pPr>
    </w:p>
    <w:p w14:paraId="2B2FF30E" w14:textId="5813A59B" w:rsidR="00441789" w:rsidRDefault="0022252F">
      <w:pPr>
        <w:pStyle w:val="Body"/>
      </w:pPr>
      <w:r>
        <w:rPr>
          <w:caps/>
        </w:rPr>
        <w:t>Whereas,</w:t>
      </w:r>
      <w:r>
        <w:t xml:space="preserve"> </w:t>
      </w:r>
      <w:r>
        <w:tab/>
        <w:t xml:space="preserve">Israel has ratified the Convention on the Rights of the Child on October 3, 1991, </w:t>
      </w:r>
      <w:r>
        <w:tab/>
      </w:r>
      <w:r>
        <w:tab/>
      </w:r>
      <w:r w:rsidR="00C86D05">
        <w:tab/>
      </w:r>
      <w:r>
        <w:t xml:space="preserve">which states—in article 37(a), that “no child shall be subject to torture or other </w:t>
      </w:r>
      <w:r>
        <w:tab/>
      </w:r>
      <w:r>
        <w:tab/>
      </w:r>
      <w:r>
        <w:tab/>
        <w:t>cruel, inhumane or degradi</w:t>
      </w:r>
      <w:r w:rsidR="00C86D05">
        <w:t>ng treatment or punishment;”</w:t>
      </w:r>
    </w:p>
    <w:p w14:paraId="7E854CE7" w14:textId="5C0D134A" w:rsidR="00C86D05" w:rsidRDefault="0022252F">
      <w:pPr>
        <w:pStyle w:val="Body"/>
        <w:rPr>
          <w:lang w:val="fr-FR"/>
        </w:rPr>
      </w:pPr>
      <w:r>
        <w:br/>
      </w:r>
      <w:r w:rsidR="00C86D05">
        <w:rPr>
          <w:lang w:val="fr-FR"/>
        </w:rPr>
        <w:t xml:space="preserve">THEREFORE BE IT </w:t>
      </w:r>
      <w:r w:rsidR="002135A2">
        <w:rPr>
          <w:lang w:val="fr-FR"/>
        </w:rPr>
        <w:t xml:space="preserve">RESOLVED, </w:t>
      </w:r>
      <w:r>
        <w:rPr>
          <w:lang w:val="fr-FR"/>
        </w:rPr>
        <w:t>that the Delaware Maryland Synod Assemb</w:t>
      </w:r>
      <w:r w:rsidR="00C86D05">
        <w:rPr>
          <w:lang w:val="fr-FR"/>
        </w:rPr>
        <w:t xml:space="preserve">ly memorialize </w:t>
      </w:r>
    </w:p>
    <w:p w14:paraId="5D2258E6" w14:textId="7465DBCF" w:rsidR="00441789" w:rsidRDefault="00C86D05" w:rsidP="00C86D05">
      <w:pPr>
        <w:pStyle w:val="Body"/>
        <w:ind w:left="1440"/>
      </w:pPr>
      <w:r>
        <w:rPr>
          <w:lang w:val="fr-FR"/>
        </w:rPr>
        <w:t xml:space="preserve">the 2019 ELCA </w:t>
      </w:r>
      <w:r w:rsidR="0022252F">
        <w:rPr>
          <w:lang w:val="fr-FR"/>
        </w:rPr>
        <w:t>Churchwide Assembly, requesting</w:t>
      </w:r>
      <w:r w:rsidR="00A81A66">
        <w:rPr>
          <w:lang w:val="fr-FR"/>
        </w:rPr>
        <w:t xml:space="preserve"> </w:t>
      </w:r>
      <w:r w:rsidR="00A81A66" w:rsidRPr="0002495F">
        <w:rPr>
          <w:color w:val="000000" w:themeColor="text1"/>
          <w:lang w:val="fr-FR"/>
        </w:rPr>
        <w:t>that, in the spirit of justice,</w:t>
      </w:r>
      <w:r w:rsidR="0022252F">
        <w:rPr>
          <w:lang w:val="fr-FR"/>
        </w:rPr>
        <w:t xml:space="preserve"> the Assembly call on the State of Israel to guarantee basic due process rights in the Israeli military court system; respect and ensure the absolute prohibition against torture and ill-treatment in accordance with international law, specifically the UN Convention on the Rights of the Child; </w:t>
      </w:r>
      <w:r w:rsidR="0022252F">
        <w:rPr>
          <w:i/>
          <w:iCs/>
        </w:rPr>
        <w:t>and</w:t>
      </w:r>
      <w:r w:rsidR="0022252F">
        <w:t xml:space="preserve"> call on the government of the United States to fully implement and enforce its </w:t>
      </w:r>
      <w:r>
        <w:t>o</w:t>
      </w:r>
      <w:r w:rsidR="0022252F">
        <w:t>wn established law, including the U.S. Foreign Assistance Act</w:t>
      </w:r>
      <w:r>
        <w:rPr>
          <w:rStyle w:val="FootnoteReference"/>
        </w:rPr>
        <w:footnoteReference w:id="6"/>
      </w:r>
      <w:r w:rsidR="0022252F">
        <w:t>; and be it further</w:t>
      </w:r>
    </w:p>
    <w:p w14:paraId="51296EFF" w14:textId="77777777" w:rsidR="00441789" w:rsidRDefault="00441789">
      <w:pPr>
        <w:pStyle w:val="Body"/>
      </w:pPr>
    </w:p>
    <w:p w14:paraId="3D93FD8F" w14:textId="57DCD522" w:rsidR="00441789" w:rsidRDefault="0022252F">
      <w:pPr>
        <w:pStyle w:val="Body"/>
      </w:pPr>
      <w:r>
        <w:rPr>
          <w:lang w:val="fr-FR"/>
        </w:rPr>
        <w:t xml:space="preserve">RESOLVED, </w:t>
      </w:r>
      <w:r>
        <w:rPr>
          <w:lang w:val="fr-FR"/>
        </w:rPr>
        <w:tab/>
        <w:t xml:space="preserve">that the Delaware Maryland Synod Assembly memorialize the 2019 ELCA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Churchwide Assembly, requesting the ELCA presiding bishop and the bishops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and staff of every ELCA synod to advocate with elected officials, encouraging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them to ensure that United States taxpayer funds, including the over $3 billion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annual foreign aid to Israel, do not support military detention, interrogation,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abuse, or ill-treatment of Palestinian </w:t>
      </w:r>
      <w:r>
        <w:t>children; and be it further</w:t>
      </w:r>
    </w:p>
    <w:p w14:paraId="6C207BAC" w14:textId="77777777" w:rsidR="00441789" w:rsidRDefault="00441789">
      <w:pPr>
        <w:pStyle w:val="Body"/>
      </w:pPr>
    </w:p>
    <w:p w14:paraId="35356401" w14:textId="22F25E76" w:rsidR="00441789" w:rsidRDefault="0022252F" w:rsidP="00C86D05">
      <w:pPr>
        <w:pStyle w:val="Body"/>
        <w:ind w:left="1440" w:hanging="1440"/>
      </w:pPr>
      <w:r>
        <w:rPr>
          <w:lang w:val="fr-FR"/>
        </w:rPr>
        <w:t xml:space="preserve">RESOLVED, </w:t>
      </w:r>
      <w:r>
        <w:rPr>
          <w:color w:val="0000FF"/>
          <w:u w:color="0000FF"/>
        </w:rPr>
        <w:tab/>
      </w:r>
      <w:r>
        <w:t>that the Delaware Maryland Synod Asse</w:t>
      </w:r>
      <w:r w:rsidR="00C86D05">
        <w:t xml:space="preserve">mbly memorialize the 2019 ELCA </w:t>
      </w:r>
      <w:r>
        <w:t>Churchwide Assembly, to request that the Pea</w:t>
      </w:r>
      <w:r w:rsidR="00C86D05">
        <w:t xml:space="preserve">ce Not Walls Strategy consider </w:t>
      </w:r>
      <w:r>
        <w:t xml:space="preserve">creating a resource enabling congregations to learn more about the </w:t>
      </w:r>
      <w:r w:rsidR="00C86D05">
        <w:t xml:space="preserve">lives of </w:t>
      </w:r>
      <w:r>
        <w:t xml:space="preserve">Palestinian children—especially those living in occupied </w:t>
      </w:r>
      <w:r>
        <w:rPr>
          <w:lang w:val="it-IT"/>
        </w:rPr>
        <w:t>territories</w:t>
      </w:r>
      <w:r>
        <w:t>; and be it further</w:t>
      </w:r>
    </w:p>
    <w:p w14:paraId="2A1A25BD" w14:textId="77777777" w:rsidR="00441789" w:rsidRDefault="00441789">
      <w:pPr>
        <w:pStyle w:val="Body"/>
      </w:pPr>
    </w:p>
    <w:p w14:paraId="48268213" w14:textId="53205D3A" w:rsidR="00441789" w:rsidRDefault="0022252F">
      <w:pPr>
        <w:pStyle w:val="Body"/>
      </w:pPr>
      <w:r>
        <w:rPr>
          <w:lang w:val="fr-FR"/>
        </w:rPr>
        <w:t xml:space="preserve">RESOLVED, </w:t>
      </w:r>
      <w:r>
        <w:rPr>
          <w:lang w:val="fr-FR"/>
        </w:rPr>
        <w:tab/>
        <w:t xml:space="preserve">that the Delaware Maryland Synod Assembly memorialize the 2019 ELCA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Churchwide Assembly, requesting the Assembly to encourage ELCA members to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contact their members of Congress in support of legislation that prohibits U.S.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foreign aid to be used in ways that violate human righ</w:t>
      </w:r>
      <w:r w:rsidR="00C86D05">
        <w:rPr>
          <w:lang w:val="fr-FR"/>
        </w:rPr>
        <w:t>ts for Palestinian children</w:t>
      </w:r>
      <w:r>
        <w:t xml:space="preserve">. </w:t>
      </w:r>
    </w:p>
    <w:p w14:paraId="58425264" w14:textId="77777777" w:rsidR="00441789" w:rsidRDefault="00441789">
      <w:pPr>
        <w:pStyle w:val="Body"/>
      </w:pPr>
    </w:p>
    <w:p w14:paraId="035FA4E4" w14:textId="77777777" w:rsidR="00441789" w:rsidRDefault="0022252F">
      <w:pPr>
        <w:pStyle w:val="Body"/>
      </w:pPr>
      <w:r>
        <w:t>Submitted by:</w:t>
      </w:r>
    </w:p>
    <w:p w14:paraId="07457B26" w14:textId="69916F72" w:rsidR="00441789" w:rsidRDefault="006D4E8F">
      <w:pPr>
        <w:pStyle w:val="Body"/>
      </w:pPr>
      <w:r>
        <w:tab/>
      </w:r>
      <w:r w:rsidR="0022252F">
        <w:t xml:space="preserve">W. Brad Schlegel                              </w:t>
      </w:r>
      <w:r w:rsidR="0022252F">
        <w:tab/>
        <w:t>St. Mark’s, Baltimore</w:t>
      </w:r>
    </w:p>
    <w:p w14:paraId="0F921CC0" w14:textId="66A35A69" w:rsidR="00441789" w:rsidRDefault="0022252F">
      <w:pPr>
        <w:pStyle w:val="Body"/>
      </w:pPr>
      <w:r>
        <w:t xml:space="preserve"> </w:t>
      </w:r>
      <w:r>
        <w:tab/>
        <w:t>The Rev. Jason Chesnut</w:t>
      </w:r>
      <w:r>
        <w:tab/>
      </w:r>
      <w:r>
        <w:tab/>
        <w:t>ANKOSfilms</w:t>
      </w:r>
      <w:r>
        <w:rPr>
          <w:lang w:val="it-IT"/>
        </w:rPr>
        <w:t>, Baltimore</w:t>
      </w:r>
    </w:p>
    <w:p w14:paraId="7365B136" w14:textId="79CDC8F5" w:rsidR="00441789" w:rsidRDefault="0022252F">
      <w:pPr>
        <w:pStyle w:val="Body"/>
      </w:pPr>
      <w:r>
        <w:tab/>
        <w:t xml:space="preserve">The Rev. Sara Yotter  </w:t>
      </w:r>
      <w:r>
        <w:tab/>
      </w:r>
      <w:r>
        <w:tab/>
      </w:r>
      <w:r>
        <w:tab/>
        <w:t xml:space="preserve">Joy Reigns, Edgewater </w:t>
      </w:r>
    </w:p>
    <w:p w14:paraId="1F4C5F0D" w14:textId="77777777" w:rsidR="00441789" w:rsidRDefault="00441789">
      <w:pPr>
        <w:pStyle w:val="Body"/>
      </w:pPr>
    </w:p>
    <w:p w14:paraId="4FE74811" w14:textId="31B8F5FF" w:rsidR="00441789" w:rsidRDefault="0022252F">
      <w:pPr>
        <w:pStyle w:val="Body"/>
      </w:pPr>
      <w:r>
        <w:t>Recommendation of Reference &amp; Counsel: Positive</w:t>
      </w:r>
      <w:r w:rsidR="00C86D05">
        <w:t>.</w:t>
      </w:r>
    </w:p>
    <w:sectPr w:rsidR="00441789">
      <w:pgSz w:w="12240" w:h="15840"/>
      <w:pgMar w:top="100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23286" w14:textId="77777777" w:rsidR="00971F60" w:rsidRDefault="00971F60">
      <w:r>
        <w:separator/>
      </w:r>
    </w:p>
  </w:endnote>
  <w:endnote w:type="continuationSeparator" w:id="0">
    <w:p w14:paraId="05A09F6C" w14:textId="77777777" w:rsidR="00971F60" w:rsidRDefault="0097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95AD2" w14:textId="77777777" w:rsidR="00971F60" w:rsidRDefault="00971F60">
      <w:r>
        <w:separator/>
      </w:r>
    </w:p>
  </w:footnote>
  <w:footnote w:type="continuationSeparator" w:id="0">
    <w:p w14:paraId="09054C5B" w14:textId="77777777" w:rsidR="00971F60" w:rsidRDefault="00971F60">
      <w:r>
        <w:continuationSeparator/>
      </w:r>
    </w:p>
  </w:footnote>
  <w:footnote w:type="continuationNotice" w:id="1">
    <w:p w14:paraId="0FBDF7CE" w14:textId="77777777" w:rsidR="00971F60" w:rsidRDefault="00971F60"/>
  </w:footnote>
  <w:footnote w:id="2">
    <w:p w14:paraId="2FF5401C" w14:textId="77777777" w:rsidR="00971F60" w:rsidRDefault="00971F60">
      <w:pPr>
        <w:pStyle w:val="Footnote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Human Rights Watch, “Separate and Unequal: Israel’s Discriminatory Treatment of Palestinians in the Occupied Palestinian Territories,” </w:t>
      </w:r>
      <w:hyperlink r:id="rId1" w:history="1">
        <w:r>
          <w:rPr>
            <w:rStyle w:val="Hyperlink0"/>
            <w:rFonts w:eastAsia="Arial Unicode MS" w:cs="Arial Unicode MS"/>
          </w:rPr>
          <w:t>https://www.hrw.org/sites/default/files/reports/iopt1210webwcover_0.pdf</w:t>
        </w:r>
      </w:hyperlink>
      <w:r>
        <w:rPr>
          <w:rFonts w:ascii="Times New Roman" w:hAnsi="Times New Roman"/>
          <w:sz w:val="20"/>
          <w:szCs w:val="20"/>
        </w:rPr>
        <w:t>, 2010 (7).</w:t>
      </w:r>
    </w:p>
  </w:footnote>
  <w:footnote w:id="3">
    <w:p w14:paraId="6EA94B1C" w14:textId="77777777" w:rsidR="00971F60" w:rsidRDefault="00971F60">
      <w:pPr>
        <w:pStyle w:val="Footnote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UNICEF, “Children In Israeli Military Detention: Observations and Recommendations,” </w:t>
      </w:r>
      <w:hyperlink r:id="rId2" w:history="1">
        <w:r>
          <w:rPr>
            <w:rStyle w:val="Link"/>
            <w:rFonts w:ascii="Times New Roman" w:hAnsi="Times New Roman"/>
            <w:sz w:val="20"/>
            <w:szCs w:val="20"/>
          </w:rPr>
          <w:t>https://www.unicef.org/oPt/UNICEF_oPt_Children_in_Israeli_Military_Detention_Observations_and_Recommendations_-_6_March_2013.pdf</w:t>
        </w:r>
      </w:hyperlink>
      <w:r>
        <w:rPr>
          <w:rFonts w:ascii="Times New Roman" w:hAnsi="Times New Roman"/>
          <w:sz w:val="20"/>
          <w:szCs w:val="20"/>
        </w:rPr>
        <w:t>, February 2013 (6-9).</w:t>
      </w:r>
    </w:p>
  </w:footnote>
  <w:footnote w:id="4">
    <w:p w14:paraId="6FB36250" w14:textId="77777777" w:rsidR="00971F60" w:rsidRDefault="00971F60">
      <w:pPr>
        <w:pStyle w:val="Footnote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Addameer Prisoner Support and Human Rights Association, “Arrests of Children in Jerusalem: Detention, Education, Financial Strains and Social Burdens,” </w:t>
      </w:r>
      <w:hyperlink r:id="rId3" w:history="1">
        <w:r>
          <w:rPr>
            <w:rStyle w:val="Link"/>
            <w:rFonts w:ascii="Times New Roman" w:hAnsi="Times New Roman"/>
            <w:sz w:val="20"/>
            <w:szCs w:val="20"/>
          </w:rPr>
          <w:t>http://www.addameer.org/sites/default/files/publications/house_arrest_factsheet_01_june_2017.pdf</w:t>
        </w:r>
      </w:hyperlink>
      <w:r>
        <w:rPr>
          <w:rFonts w:ascii="Times New Roman" w:hAnsi="Times New Roman"/>
          <w:sz w:val="20"/>
          <w:szCs w:val="20"/>
        </w:rPr>
        <w:t>, June 2017 (1).</w:t>
      </w:r>
    </w:p>
  </w:footnote>
  <w:footnote w:id="5">
    <w:p w14:paraId="4FCF7BB1" w14:textId="77777777" w:rsidR="00971F60" w:rsidRDefault="00971F60">
      <w:pPr>
        <w:pStyle w:val="Footnote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HaMoked and B’Tselem, “Unprotected: Detention of Palestinian Teenagers in East Jerusalem,” </w:t>
      </w:r>
      <w:hyperlink r:id="rId4" w:history="1">
        <w:r>
          <w:rPr>
            <w:rStyle w:val="Link"/>
            <w:rFonts w:ascii="Times New Roman" w:hAnsi="Times New Roman"/>
            <w:sz w:val="20"/>
            <w:szCs w:val="20"/>
          </w:rPr>
          <w:t>https://www.btselem.org/publications/summaries/201710_unprotected</w:t>
        </w:r>
      </w:hyperlink>
      <w:r>
        <w:rPr>
          <w:rFonts w:ascii="Times New Roman" w:hAnsi="Times New Roman"/>
          <w:sz w:val="20"/>
          <w:szCs w:val="20"/>
        </w:rPr>
        <w:t>, October 2017.</w:t>
      </w:r>
    </w:p>
  </w:footnote>
  <w:footnote w:id="6">
    <w:p w14:paraId="20A17A5C" w14:textId="417B36E8" w:rsidR="00971F60" w:rsidRDefault="00971F60">
      <w:pPr>
        <w:pStyle w:val="FootnoteText"/>
      </w:pPr>
      <w:r>
        <w:rPr>
          <w:rStyle w:val="FootnoteReference"/>
        </w:rPr>
        <w:footnoteRef/>
      </w:r>
      <w:r>
        <w:t xml:space="preserve"> USAID, “United States Foreign Assistance Act, as Amended.” Accessed May 23, 2018. </w:t>
      </w:r>
      <w:r w:rsidRPr="00C86D05">
        <w:t>https://www.usaid.gov/ads/policy/faa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89"/>
    <w:rsid w:val="0002495F"/>
    <w:rsid w:val="002135A2"/>
    <w:rsid w:val="0022252F"/>
    <w:rsid w:val="00441789"/>
    <w:rsid w:val="006D4E8F"/>
    <w:rsid w:val="008004FA"/>
    <w:rsid w:val="008656B2"/>
    <w:rsid w:val="00971F60"/>
    <w:rsid w:val="00A81A66"/>
    <w:rsid w:val="00BF19C7"/>
    <w:rsid w:val="00C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DE7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563C1"/>
      <w:sz w:val="20"/>
      <w:szCs w:val="20"/>
      <w:u w:val="single" w:color="0563C1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0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D0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D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D05"/>
  </w:style>
  <w:style w:type="character" w:styleId="FootnoteReference">
    <w:name w:val="footnote reference"/>
    <w:basedOn w:val="DefaultParagraphFont"/>
    <w:uiPriority w:val="99"/>
    <w:semiHidden/>
    <w:unhideWhenUsed/>
    <w:rsid w:val="00C86D0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563C1"/>
      <w:sz w:val="20"/>
      <w:szCs w:val="20"/>
      <w:u w:val="single" w:color="0563C1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0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D0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D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D05"/>
  </w:style>
  <w:style w:type="character" w:styleId="FootnoteReference">
    <w:name w:val="footnote reference"/>
    <w:basedOn w:val="DefaultParagraphFont"/>
    <w:uiPriority w:val="99"/>
    <w:semiHidden/>
    <w:unhideWhenUsed/>
    <w:rsid w:val="00C86D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dameer.org/sites/default/files/publications/house_arrest_factsheet_01_june_2017.pdf" TargetMode="External"/><Relationship Id="rId4" Type="http://schemas.openxmlformats.org/officeDocument/2006/relationships/hyperlink" Target="https://www.btselem.org/publications/summaries/201710_unprotected" TargetMode="External"/><Relationship Id="rId1" Type="http://schemas.openxmlformats.org/officeDocument/2006/relationships/hyperlink" Target="https://www.hrw.org/sites/default/files/reports/iopt1210webwcover_0.pdf" TargetMode="External"/><Relationship Id="rId2" Type="http://schemas.openxmlformats.org/officeDocument/2006/relationships/hyperlink" Target="https://www.unicef.org/oPt/UNICEF_oPt_Children_in_Israeli_Military_Detention_Observations_and_Recommendations_-_6_March_2013.pdf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871B-3A7C-1A4B-9885-2053B2E4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868</Words>
  <Characters>4952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Lutheran Church</dc:creator>
  <cp:lastModifiedBy>Edward Kay</cp:lastModifiedBy>
  <cp:revision>5</cp:revision>
  <dcterms:created xsi:type="dcterms:W3CDTF">2018-05-23T19:52:00Z</dcterms:created>
  <dcterms:modified xsi:type="dcterms:W3CDTF">2018-06-01T13:24:00Z</dcterms:modified>
</cp:coreProperties>
</file>